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AD692AB" w14:textId="2EA0B537" w:rsidR="00867DCE" w:rsidRDefault="00AE4489" w:rsidP="00ED6DDB">
      <w:pPr>
        <w:spacing w:line="360" w:lineRule="auto"/>
        <w:jc w:val="both"/>
        <w:rPr>
          <w:rFonts w:ascii="Arial" w:hAnsi="Arial" w:cs="Arial"/>
          <w:b/>
          <w:bCs/>
        </w:rPr>
      </w:pPr>
      <w:r w:rsidRPr="00AE4489">
        <w:rPr>
          <w:rFonts w:ascii="Arial" w:hAnsi="Arial" w:cs="Arial"/>
          <w:b/>
          <w:bCs/>
        </w:rPr>
        <w:t>ifm keeps an eye on the consumption of costly industrial gases</w:t>
      </w:r>
    </w:p>
    <w:p w14:paraId="6654C603" w14:textId="5D3D426C" w:rsidR="00AE4489" w:rsidRDefault="00AE4489" w:rsidP="00ED6DDB">
      <w:pPr>
        <w:spacing w:line="360" w:lineRule="auto"/>
        <w:jc w:val="both"/>
        <w:rPr>
          <w:rFonts w:ascii="Arial" w:hAnsi="Arial" w:cs="Arial"/>
          <w:b/>
          <w:bCs/>
        </w:rPr>
      </w:pPr>
    </w:p>
    <w:p w14:paraId="20C45CF4" w14:textId="28B5394D" w:rsidR="00AE4489" w:rsidRDefault="00AE4489" w:rsidP="00AE4489">
      <w:pPr>
        <w:spacing w:line="360" w:lineRule="auto"/>
        <w:jc w:val="both"/>
        <w:rPr>
          <w:rFonts w:ascii="Arial" w:hAnsi="Arial" w:cs="Arial"/>
        </w:rPr>
      </w:pPr>
      <w:r>
        <w:rPr>
          <w:rFonts w:ascii="Arial" w:hAnsi="Arial" w:cs="Arial"/>
        </w:rPr>
        <w:t>Accurately measuring the usage of expensive industrial gases such as argon, nitrogen, carbon dioxide and helium</w:t>
      </w:r>
      <w:r w:rsidR="00323905">
        <w:rPr>
          <w:rFonts w:ascii="Arial" w:hAnsi="Arial" w:cs="Arial"/>
        </w:rPr>
        <w:t>,</w:t>
      </w:r>
      <w:r>
        <w:rPr>
          <w:rFonts w:ascii="Arial" w:hAnsi="Arial" w:cs="Arial"/>
        </w:rPr>
        <w:t xml:space="preserve"> is easy with the new SD range of high-performance flow</w:t>
      </w:r>
      <w:r w:rsidR="00161F11">
        <w:rPr>
          <w:rFonts w:ascii="Arial" w:hAnsi="Arial" w:cs="Arial"/>
        </w:rPr>
        <w:t xml:space="preserve"> sensors</w:t>
      </w:r>
      <w:r>
        <w:rPr>
          <w:rFonts w:ascii="Arial" w:hAnsi="Arial" w:cs="Arial"/>
        </w:rPr>
        <w:t xml:space="preserve"> from ifm electronic. And because they maintain high accuracy over their full measuring range, the new units also function as an invaluable aid to leakage detection. Typical applications include </w:t>
      </w:r>
      <w:r w:rsidRPr="00AE4489">
        <w:rPr>
          <w:rFonts w:ascii="Arial" w:hAnsi="Arial" w:cs="Arial"/>
        </w:rPr>
        <w:t xml:space="preserve">bottling and packaging machines in the food industry </w:t>
      </w:r>
      <w:r w:rsidR="00CE22D8">
        <w:rPr>
          <w:rFonts w:ascii="Arial" w:hAnsi="Arial" w:cs="Arial"/>
        </w:rPr>
        <w:t>and</w:t>
      </w:r>
      <w:r>
        <w:rPr>
          <w:rFonts w:ascii="Arial" w:hAnsi="Arial" w:cs="Arial"/>
        </w:rPr>
        <w:t xml:space="preserve"> </w:t>
      </w:r>
      <w:r w:rsidRPr="00AE4489">
        <w:rPr>
          <w:rFonts w:ascii="Arial" w:hAnsi="Arial" w:cs="Arial"/>
        </w:rPr>
        <w:t>welding, cutting or soldering processes in which protective gases are used.</w:t>
      </w:r>
    </w:p>
    <w:p w14:paraId="59E3FE3A" w14:textId="5047185E" w:rsidR="00AE4489" w:rsidRDefault="00AE4489" w:rsidP="00AE4489">
      <w:pPr>
        <w:spacing w:line="360" w:lineRule="auto"/>
        <w:jc w:val="both"/>
        <w:rPr>
          <w:rFonts w:ascii="Arial" w:hAnsi="Arial" w:cs="Arial"/>
        </w:rPr>
      </w:pPr>
    </w:p>
    <w:p w14:paraId="7EE9E4FE" w14:textId="6983DA6A" w:rsidR="00CE22D8" w:rsidRDefault="00AE4489" w:rsidP="00AE4489">
      <w:pPr>
        <w:spacing w:line="360" w:lineRule="auto"/>
        <w:jc w:val="both"/>
        <w:rPr>
          <w:rFonts w:ascii="Arial" w:hAnsi="Arial" w:cs="Arial"/>
        </w:rPr>
      </w:pPr>
      <w:r>
        <w:rPr>
          <w:rFonts w:ascii="Arial" w:hAnsi="Arial" w:cs="Arial"/>
        </w:rPr>
        <w:t>A</w:t>
      </w:r>
      <w:r w:rsidR="005C7177">
        <w:rPr>
          <w:rFonts w:ascii="Arial" w:hAnsi="Arial" w:cs="Arial"/>
        </w:rPr>
        <w:t>n</w:t>
      </w:r>
      <w:r>
        <w:rPr>
          <w:rFonts w:ascii="Arial" w:hAnsi="Arial" w:cs="Arial"/>
        </w:rPr>
        <w:t xml:space="preserve"> </w:t>
      </w:r>
      <w:r w:rsidR="00CE22D8">
        <w:rPr>
          <w:rFonts w:ascii="Arial" w:hAnsi="Arial" w:cs="Arial"/>
        </w:rPr>
        <w:t xml:space="preserve">important </w:t>
      </w:r>
      <w:r>
        <w:rPr>
          <w:rFonts w:ascii="Arial" w:hAnsi="Arial" w:cs="Arial"/>
        </w:rPr>
        <w:t xml:space="preserve">benefit of the new monitors is that, in addition to flow rate, they measure flow quantity, pressure and temperature. In many applications, this means that they eliminate the need for additional sensors, saving money, minimising complexity and reducing the number of </w:t>
      </w:r>
      <w:r w:rsidR="005C7177">
        <w:rPr>
          <w:rFonts w:ascii="Arial" w:hAnsi="Arial" w:cs="Arial"/>
        </w:rPr>
        <w:t xml:space="preserve">control system </w:t>
      </w:r>
      <w:r>
        <w:rPr>
          <w:rFonts w:ascii="Arial" w:hAnsi="Arial" w:cs="Arial"/>
        </w:rPr>
        <w:t>I/O channels needed</w:t>
      </w:r>
      <w:r w:rsidR="005C7177">
        <w:rPr>
          <w:rFonts w:ascii="Arial" w:hAnsi="Arial" w:cs="Arial"/>
        </w:rPr>
        <w:t>.</w:t>
      </w:r>
    </w:p>
    <w:p w14:paraId="7EFE59C2" w14:textId="77777777" w:rsidR="00CE22D8" w:rsidRDefault="00CE22D8" w:rsidP="00AE4489">
      <w:pPr>
        <w:spacing w:line="360" w:lineRule="auto"/>
        <w:jc w:val="both"/>
        <w:rPr>
          <w:rFonts w:ascii="Arial" w:hAnsi="Arial" w:cs="Arial"/>
        </w:rPr>
      </w:pPr>
    </w:p>
    <w:p w14:paraId="0D2026B2" w14:textId="17C3400B" w:rsidR="00CE22D8" w:rsidRDefault="00CE22D8" w:rsidP="00AE4489">
      <w:pPr>
        <w:spacing w:line="360" w:lineRule="auto"/>
        <w:jc w:val="both"/>
        <w:rPr>
          <w:rFonts w:ascii="Arial" w:hAnsi="Arial" w:cs="Arial"/>
        </w:rPr>
      </w:pPr>
      <w:r>
        <w:rPr>
          <w:rFonts w:ascii="Arial" w:hAnsi="Arial" w:cs="Arial"/>
        </w:rPr>
        <w:t>The</w:t>
      </w:r>
      <w:r w:rsidR="00161F11">
        <w:rPr>
          <w:rFonts w:ascii="Arial" w:hAnsi="Arial" w:cs="Arial"/>
        </w:rPr>
        <w:t xml:space="preserve"> sensors</w:t>
      </w:r>
      <w:r>
        <w:rPr>
          <w:rFonts w:ascii="Arial" w:hAnsi="Arial" w:cs="Arial"/>
        </w:rPr>
        <w:t xml:space="preserve"> feature an IO-Link interface which provides access to all measured values and which can also be used for parameterisation and for simulating the operation of the </w:t>
      </w:r>
      <w:r w:rsidR="00161F11">
        <w:rPr>
          <w:rFonts w:ascii="Arial" w:hAnsi="Arial" w:cs="Arial"/>
        </w:rPr>
        <w:t>sensor</w:t>
      </w:r>
      <w:r>
        <w:rPr>
          <w:rFonts w:ascii="Arial" w:hAnsi="Arial" w:cs="Arial"/>
        </w:rPr>
        <w:t xml:space="preserve"> before putting it into service. A colour display provides convenient local indication of the measured values, and the</w:t>
      </w:r>
      <w:r w:rsidR="00161F11">
        <w:rPr>
          <w:rFonts w:ascii="Arial" w:hAnsi="Arial" w:cs="Arial"/>
        </w:rPr>
        <w:t xml:space="preserve"> sensors</w:t>
      </w:r>
      <w:r>
        <w:rPr>
          <w:rFonts w:ascii="Arial" w:hAnsi="Arial" w:cs="Arial"/>
        </w:rPr>
        <w:t xml:space="preserve"> also provide conventional analogue and switching outputs.</w:t>
      </w:r>
    </w:p>
    <w:p w14:paraId="0DE0B53E" w14:textId="0095C1ED" w:rsidR="00AE4489" w:rsidRDefault="00AE4489" w:rsidP="00AE4489">
      <w:pPr>
        <w:spacing w:line="360" w:lineRule="auto"/>
        <w:jc w:val="both"/>
        <w:rPr>
          <w:rFonts w:ascii="Arial" w:hAnsi="Arial" w:cs="Arial"/>
        </w:rPr>
      </w:pPr>
    </w:p>
    <w:p w14:paraId="43F23A02" w14:textId="7A886515" w:rsidR="00AE4489" w:rsidRDefault="00CE22D8" w:rsidP="00ED6DDB">
      <w:pPr>
        <w:spacing w:line="360" w:lineRule="auto"/>
        <w:jc w:val="both"/>
        <w:rPr>
          <w:rFonts w:ascii="Arial" w:hAnsi="Arial" w:cs="Arial"/>
        </w:rPr>
      </w:pPr>
      <w:r>
        <w:rPr>
          <w:rFonts w:ascii="Arial" w:hAnsi="Arial" w:cs="Arial"/>
        </w:rPr>
        <w:t>ifm electronic offers its SD flo</w:t>
      </w:r>
      <w:r w:rsidR="00161F11">
        <w:rPr>
          <w:rFonts w:ascii="Arial" w:hAnsi="Arial" w:cs="Arial"/>
        </w:rPr>
        <w:t xml:space="preserve">w </w:t>
      </w:r>
      <w:proofErr w:type="spellStart"/>
      <w:r w:rsidR="00161F11">
        <w:rPr>
          <w:rFonts w:ascii="Arial" w:hAnsi="Arial" w:cs="Arial"/>
        </w:rPr>
        <w:t>sesnors</w:t>
      </w:r>
      <w:proofErr w:type="spellEnd"/>
      <w:r>
        <w:rPr>
          <w:rFonts w:ascii="Arial" w:hAnsi="Arial" w:cs="Arial"/>
        </w:rPr>
        <w:t xml:space="preserve"> for gas consumption measurement in two configurations. </w:t>
      </w:r>
      <w:r w:rsidR="00AE4489">
        <w:rPr>
          <w:rFonts w:ascii="Arial" w:hAnsi="Arial" w:cs="Arial"/>
        </w:rPr>
        <w:t>The first is</w:t>
      </w:r>
      <w:r>
        <w:rPr>
          <w:rFonts w:ascii="Arial" w:hAnsi="Arial" w:cs="Arial"/>
        </w:rPr>
        <w:t xml:space="preserve"> </w:t>
      </w:r>
      <w:r w:rsidR="00AE4489">
        <w:rPr>
          <w:rFonts w:ascii="Arial" w:hAnsi="Arial" w:cs="Arial"/>
        </w:rPr>
        <w:t>for use with argon, nitrogen, carbon dioxide and air. To ensure maximum accuracy, it is pre-programmed with the characteristics of each of these gases</w:t>
      </w:r>
      <w:r>
        <w:rPr>
          <w:rFonts w:ascii="Arial" w:hAnsi="Arial" w:cs="Arial"/>
        </w:rPr>
        <w:t xml:space="preserve"> and it can be supplied in versions to measure flow rates from 0.05 to 225 Nm</w:t>
      </w:r>
      <w:r w:rsidRPr="00CE22D8">
        <w:rPr>
          <w:rFonts w:ascii="Arial" w:hAnsi="Arial" w:cs="Arial"/>
          <w:vertAlign w:val="superscript"/>
        </w:rPr>
        <w:t>3</w:t>
      </w:r>
      <w:r>
        <w:rPr>
          <w:rFonts w:ascii="Arial" w:hAnsi="Arial" w:cs="Arial"/>
        </w:rPr>
        <w:t xml:space="preserve">/h. The second configuration is </w:t>
      </w:r>
      <w:r w:rsidR="00AE4489">
        <w:rPr>
          <w:rFonts w:ascii="Arial" w:hAnsi="Arial" w:cs="Arial"/>
        </w:rPr>
        <w:t xml:space="preserve">specially adapted for use with helium and </w:t>
      </w:r>
      <w:r>
        <w:rPr>
          <w:rFonts w:ascii="Arial" w:hAnsi="Arial" w:cs="Arial"/>
        </w:rPr>
        <w:t>available in versions to measure flow rates from 0.05 to 10 Nm</w:t>
      </w:r>
      <w:r w:rsidRPr="00CE22D8">
        <w:rPr>
          <w:rFonts w:ascii="Arial" w:hAnsi="Arial" w:cs="Arial"/>
          <w:vertAlign w:val="superscript"/>
        </w:rPr>
        <w:t>3</w:t>
      </w:r>
      <w:r>
        <w:rPr>
          <w:rFonts w:ascii="Arial" w:hAnsi="Arial" w:cs="Arial"/>
        </w:rPr>
        <w:t>/h.</w:t>
      </w:r>
    </w:p>
    <w:p w14:paraId="6C3FF634" w14:textId="5D16C2B5" w:rsidR="00CE22D8" w:rsidRDefault="00CE22D8" w:rsidP="00ED6DDB">
      <w:pPr>
        <w:spacing w:line="360" w:lineRule="auto"/>
        <w:jc w:val="both"/>
        <w:rPr>
          <w:rFonts w:ascii="Arial" w:hAnsi="Arial" w:cs="Arial"/>
        </w:rPr>
      </w:pPr>
    </w:p>
    <w:p w14:paraId="2835BF91" w14:textId="77777777" w:rsidR="004C19DD" w:rsidRDefault="00CE22D8" w:rsidP="00ED6DDB">
      <w:pPr>
        <w:spacing w:line="360" w:lineRule="auto"/>
        <w:jc w:val="both"/>
        <w:rPr>
          <w:rFonts w:ascii="Arial" w:hAnsi="Arial" w:cs="Arial"/>
        </w:rPr>
      </w:pPr>
      <w:r>
        <w:rPr>
          <w:rFonts w:ascii="Arial" w:hAnsi="Arial" w:cs="Arial"/>
        </w:rPr>
        <w:t>All versions have excellent dynamic performance with a T09 response time of 0.5 s, and all can be used with media over the temperature range -10 to +60 ºC.</w:t>
      </w:r>
    </w:p>
    <w:p w14:paraId="55FBC15F" w14:textId="77777777" w:rsidR="004C19DD" w:rsidRDefault="004C19DD" w:rsidP="00ED6DDB">
      <w:pPr>
        <w:spacing w:line="360" w:lineRule="auto"/>
        <w:jc w:val="both"/>
        <w:rPr>
          <w:rFonts w:ascii="Arial" w:hAnsi="Arial" w:cs="Arial"/>
        </w:rPr>
      </w:pPr>
    </w:p>
    <w:p w14:paraId="4C20BDA7" w14:textId="77777777" w:rsidR="004C19DD" w:rsidRDefault="004C19DD" w:rsidP="004C19DD">
      <w:pPr>
        <w:pStyle w:val="paragraph"/>
        <w:spacing w:before="0" w:beforeAutospacing="0" w:after="0" w:afterAutospacing="0"/>
        <w:jc w:val="both"/>
        <w:textAlignment w:val="baseline"/>
        <w:rPr>
          <w:rStyle w:val="normaltextrun"/>
          <w:rFonts w:ascii="Verdana" w:hAnsi="Verdana" w:cs="Segoe UI"/>
          <w:sz w:val="22"/>
          <w:szCs w:val="22"/>
        </w:rPr>
      </w:pPr>
      <w:r>
        <w:rPr>
          <w:rStyle w:val="normaltextrun"/>
          <w:rFonts w:ascii="Verdana" w:hAnsi="Verdana" w:cs="Segoe UI"/>
          <w:sz w:val="22"/>
          <w:szCs w:val="22"/>
        </w:rPr>
        <w:t>Contact:  Gemma Anderson, ifm electronic ltd, Efector House, Kingsway Business Park, Oldfield Road, Hampton, TW12 2HD, UK</w:t>
      </w:r>
    </w:p>
    <w:p w14:paraId="4D3873D1" w14:textId="3FD545B8" w:rsidR="00CE22D8" w:rsidRPr="004C19DD" w:rsidRDefault="004C19DD" w:rsidP="004C19DD">
      <w:pPr>
        <w:pStyle w:val="paragraph"/>
        <w:spacing w:before="0" w:beforeAutospacing="0" w:after="0" w:afterAutospacing="0"/>
        <w:jc w:val="both"/>
        <w:textAlignment w:val="baseline"/>
        <w:rPr>
          <w:rFonts w:ascii="Verdana" w:hAnsi="Verdana" w:cs="Segoe UI"/>
          <w:sz w:val="22"/>
          <w:szCs w:val="22"/>
        </w:rPr>
      </w:pPr>
      <w:r>
        <w:rPr>
          <w:rStyle w:val="normaltextrun"/>
          <w:rFonts w:ascii="Verdana" w:hAnsi="Verdana" w:cs="Segoe UI"/>
          <w:sz w:val="22"/>
          <w:szCs w:val="22"/>
        </w:rPr>
        <w:t xml:space="preserve">Email: </w:t>
      </w:r>
      <w:hyperlink r:id="rId4" w:history="1">
        <w:r>
          <w:rPr>
            <w:rStyle w:val="Hyperlink"/>
            <w:rFonts w:ascii="Verdana" w:hAnsi="Verdana" w:cs="Segoe UI"/>
            <w:sz w:val="22"/>
            <w:szCs w:val="22"/>
          </w:rPr>
          <w:t>marketing.gb@ifm.com</w:t>
        </w:r>
      </w:hyperlink>
      <w:r>
        <w:rPr>
          <w:rStyle w:val="normaltextrun"/>
          <w:rFonts w:ascii="Verdana" w:hAnsi="Verdana" w:cs="Segoe UI"/>
          <w:sz w:val="22"/>
          <w:szCs w:val="22"/>
        </w:rPr>
        <w:t xml:space="preserve"> Tel: +44 208 213 2222 Web: </w:t>
      </w:r>
      <w:hyperlink r:id="rId5" w:history="1">
        <w:r>
          <w:rPr>
            <w:rStyle w:val="Hyperlink"/>
            <w:rFonts w:ascii="Verdana" w:hAnsi="Verdana" w:cs="Segoe UI"/>
            <w:sz w:val="22"/>
            <w:szCs w:val="22"/>
          </w:rPr>
          <w:t>www.ifm.com/uk</w:t>
        </w:r>
      </w:hyperlink>
      <w:r>
        <w:rPr>
          <w:rStyle w:val="normaltextrun"/>
          <w:rFonts w:ascii="Verdana" w:hAnsi="Verdana" w:cs="Segoe UI"/>
          <w:sz w:val="22"/>
          <w:szCs w:val="22"/>
        </w:rPr>
        <w:t xml:space="preserve"> </w:t>
      </w:r>
      <w:r w:rsidR="00CE22D8">
        <w:rPr>
          <w:rFonts w:ascii="Arial" w:hAnsi="Arial" w:cs="Arial"/>
        </w:rPr>
        <w:t xml:space="preserve"> </w:t>
      </w:r>
    </w:p>
    <w:p w14:paraId="60FEE4AE" w14:textId="2D97DA74" w:rsidR="00CE22D8" w:rsidRDefault="00CE22D8" w:rsidP="00ED6DDB">
      <w:pPr>
        <w:spacing w:line="360" w:lineRule="auto"/>
        <w:jc w:val="both"/>
        <w:rPr>
          <w:rFonts w:ascii="Arial" w:hAnsi="Arial" w:cs="Arial"/>
        </w:rPr>
      </w:pPr>
    </w:p>
    <w:p w14:paraId="35A4558E" w14:textId="2BDFA76A" w:rsidR="00CE22D8" w:rsidRDefault="00CE22D8" w:rsidP="00CE22D8">
      <w:pPr>
        <w:spacing w:line="360" w:lineRule="auto"/>
        <w:jc w:val="center"/>
        <w:rPr>
          <w:rFonts w:ascii="Arial" w:hAnsi="Arial" w:cs="Arial"/>
        </w:rPr>
      </w:pPr>
      <w:r>
        <w:rPr>
          <w:rFonts w:ascii="Arial" w:hAnsi="Arial" w:cs="Arial"/>
        </w:rPr>
        <w:lastRenderedPageBreak/>
        <w:t>=== END ===</w:t>
      </w:r>
    </w:p>
    <w:p w14:paraId="3E265B23" w14:textId="60831395" w:rsidR="00CE22D8" w:rsidRDefault="00CE22D8" w:rsidP="00ED6DDB">
      <w:pPr>
        <w:spacing w:line="360" w:lineRule="auto"/>
        <w:jc w:val="both"/>
        <w:rPr>
          <w:rFonts w:ascii="Arial" w:hAnsi="Arial" w:cs="Arial"/>
        </w:rPr>
      </w:pPr>
    </w:p>
    <w:p w14:paraId="122A0134" w14:textId="3C687B20" w:rsidR="00AE4489" w:rsidRPr="00AE4489" w:rsidRDefault="00CE22D8" w:rsidP="00ED6DDB">
      <w:pPr>
        <w:spacing w:line="360" w:lineRule="auto"/>
        <w:jc w:val="both"/>
        <w:rPr>
          <w:rFonts w:ascii="Arial" w:hAnsi="Arial" w:cs="Arial"/>
        </w:rPr>
      </w:pPr>
      <w:r>
        <w:rPr>
          <w:rFonts w:ascii="Arial" w:hAnsi="Arial" w:cs="Arial"/>
        </w:rPr>
        <w:t>(298 words)</w:t>
      </w:r>
      <w:r w:rsidR="00AE4489">
        <w:rPr>
          <w:rFonts w:ascii="Arial" w:hAnsi="Arial" w:cs="Arial"/>
        </w:rPr>
        <w:t xml:space="preserve"> </w:t>
      </w:r>
    </w:p>
    <w:sectPr w:rsidR="00AE4489" w:rsidRPr="00AE4489"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Segoe UI">
    <w:panose1 w:val="020B0604020202020204"/>
    <w:charset w:val="00"/>
    <w:family w:val="swiss"/>
    <w:pitch w:val="variable"/>
    <w:sig w:usb0="E4002EFF" w:usb1="C000E47F" w:usb2="00000009" w:usb3="00000000" w:csb0="000001FF" w:csb1="00000000"/>
  </w:font>
  <w:font w:name="PMingLiU">
    <w:altName w:val="新細明體"/>
    <w:panose1 w:val="02020500000000000000"/>
    <w:charset w:val="88"/>
    <w:family w:val="auto"/>
    <w:pitch w:val="variable"/>
    <w:sig w:usb0="00000001"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489"/>
    <w:rsid w:val="00045CA7"/>
    <w:rsid w:val="00161F11"/>
    <w:rsid w:val="001970A5"/>
    <w:rsid w:val="002E2076"/>
    <w:rsid w:val="00323905"/>
    <w:rsid w:val="004C19DD"/>
    <w:rsid w:val="005C7177"/>
    <w:rsid w:val="00670614"/>
    <w:rsid w:val="006B5416"/>
    <w:rsid w:val="00AE4489"/>
    <w:rsid w:val="00CE22D8"/>
    <w:rsid w:val="00ED51C2"/>
    <w:rsid w:val="00ED6DDB"/>
  </w:rsids>
  <m:mathPr>
    <m:mathFont m:val="Cambria Math"/>
    <m:brkBin m:val="before"/>
    <m:brkBinSub m:val="--"/>
    <m:smallFrac m:val="0"/>
    <m:dispDef/>
    <m:lMargin m:val="0"/>
    <m:rMargin m:val="0"/>
    <m:defJc m:val="centerGroup"/>
    <m:wrapIndent m:val="1440"/>
    <m:intLim m:val="subSup"/>
    <m:naryLim m:val="undOvr"/>
  </m:mathPr>
  <w:themeFontLang w:val="en-GB" w:eastAsia="zh-TW"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5D55B9"/>
  <w15:chartTrackingRefBased/>
  <w15:docId w15:val="{6A55047D-9A88-EE4F-B30B-145A68046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23905"/>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23905"/>
    <w:rPr>
      <w:rFonts w:ascii="Times New Roman" w:hAnsi="Times New Roman" w:cs="Times New Roman"/>
      <w:sz w:val="18"/>
      <w:szCs w:val="18"/>
    </w:rPr>
  </w:style>
  <w:style w:type="character" w:styleId="Hyperlink">
    <w:name w:val="Hyperlink"/>
    <w:basedOn w:val="DefaultParagraphFont"/>
    <w:uiPriority w:val="99"/>
    <w:semiHidden/>
    <w:unhideWhenUsed/>
    <w:rsid w:val="004C19DD"/>
    <w:rPr>
      <w:color w:val="0563C1" w:themeColor="hyperlink"/>
      <w:u w:val="single"/>
    </w:rPr>
  </w:style>
  <w:style w:type="paragraph" w:customStyle="1" w:styleId="paragraph">
    <w:name w:val="paragraph"/>
    <w:basedOn w:val="Normal"/>
    <w:rsid w:val="004C19DD"/>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4C19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70889569">
      <w:bodyDiv w:val="1"/>
      <w:marLeft w:val="0"/>
      <w:marRight w:val="0"/>
      <w:marTop w:val="0"/>
      <w:marBottom w:val="0"/>
      <w:divBdr>
        <w:top w:val="none" w:sz="0" w:space="0" w:color="auto"/>
        <w:left w:val="none" w:sz="0" w:space="0" w:color="auto"/>
        <w:bottom w:val="none" w:sz="0" w:space="0" w:color="auto"/>
        <w:right w:val="none" w:sz="0" w:space="0" w:color="auto"/>
      </w:divBdr>
    </w:div>
    <w:div w:id="17783275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ifm.com/uk" TargetMode="External"/><Relationship Id="rId4" Type="http://schemas.openxmlformats.org/officeDocument/2006/relationships/hyperlink" Target="mailto:marketing.gb@ifm.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326</Words>
  <Characters>1864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3</cp:revision>
  <dcterms:created xsi:type="dcterms:W3CDTF">2020-07-31T14:30:00Z</dcterms:created>
  <dcterms:modified xsi:type="dcterms:W3CDTF">2020-12-08T14:01:00Z</dcterms:modified>
</cp:coreProperties>
</file>